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9" w:rsidRDefault="005E7707" w:rsidP="005852AB">
      <w:pPr>
        <w:jc w:val="center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Informátor SBD </w:t>
      </w:r>
      <w:proofErr w:type="spellStart"/>
      <w:r>
        <w:rPr>
          <w:b/>
          <w:shadow/>
          <w:sz w:val="40"/>
          <w:szCs w:val="40"/>
        </w:rPr>
        <w:t>Těšíňan</w:t>
      </w:r>
      <w:proofErr w:type="spellEnd"/>
      <w:r>
        <w:rPr>
          <w:b/>
          <w:shadow/>
          <w:sz w:val="40"/>
          <w:szCs w:val="40"/>
        </w:rPr>
        <w:t xml:space="preserve"> č. </w:t>
      </w:r>
      <w:r w:rsidR="00C86024" w:rsidRPr="00527223">
        <w:rPr>
          <w:b/>
          <w:shadow/>
          <w:sz w:val="40"/>
          <w:szCs w:val="40"/>
        </w:rPr>
        <w:t>9</w:t>
      </w:r>
      <w:r w:rsidR="005B6519">
        <w:rPr>
          <w:b/>
          <w:shadow/>
          <w:sz w:val="40"/>
          <w:szCs w:val="40"/>
        </w:rPr>
        <w:t>/2016</w:t>
      </w:r>
    </w:p>
    <w:p w:rsidR="005B6519" w:rsidRDefault="001177D7" w:rsidP="005852AB">
      <w:pPr>
        <w:pBdr>
          <w:bottom w:val="double" w:sz="6" w:space="1" w:color="auto"/>
        </w:pBdr>
        <w:jc w:val="center"/>
        <w:rPr>
          <w:b/>
          <w:i/>
        </w:rPr>
      </w:pPr>
      <w:r>
        <w:rPr>
          <w:b/>
          <w:i/>
          <w:shadow/>
        </w:rPr>
        <w:t xml:space="preserve">(Datum vydání: </w:t>
      </w:r>
      <w:r w:rsidR="00C86024" w:rsidRPr="00527223">
        <w:rPr>
          <w:b/>
          <w:i/>
          <w:shadow/>
        </w:rPr>
        <w:t>22</w:t>
      </w:r>
      <w:r w:rsidRPr="00527223">
        <w:rPr>
          <w:b/>
          <w:i/>
          <w:shadow/>
        </w:rPr>
        <w:t>.</w:t>
      </w:r>
      <w:r w:rsidR="00EC622C" w:rsidRPr="00527223">
        <w:rPr>
          <w:b/>
          <w:i/>
          <w:shadow/>
        </w:rPr>
        <w:t xml:space="preserve"> </w:t>
      </w:r>
      <w:r w:rsidR="00C86024" w:rsidRPr="00527223">
        <w:rPr>
          <w:b/>
          <w:i/>
          <w:shadow/>
        </w:rPr>
        <w:t>9</w:t>
      </w:r>
      <w:r w:rsidR="00EC622C" w:rsidRPr="00527223">
        <w:rPr>
          <w:b/>
          <w:i/>
          <w:shadow/>
        </w:rPr>
        <w:t>.</w:t>
      </w:r>
      <w:r>
        <w:rPr>
          <w:b/>
          <w:i/>
          <w:shadow/>
        </w:rPr>
        <w:t xml:space="preserve"> 2016</w:t>
      </w:r>
      <w:r w:rsidR="005B6519">
        <w:rPr>
          <w:b/>
          <w:i/>
          <w:shadow/>
        </w:rPr>
        <w:t>)</w:t>
      </w:r>
      <w:r w:rsidR="005B6519">
        <w:rPr>
          <w:b/>
          <w:i/>
        </w:rPr>
        <w:t xml:space="preserve"> </w:t>
      </w:r>
      <w:hyperlink r:id="rId7" w:history="1">
        <w:r w:rsidR="005B6519">
          <w:rPr>
            <w:rStyle w:val="Hypertextovodkaz"/>
            <w:b/>
            <w:i/>
          </w:rPr>
          <w:t>www.tesinan.cz</w:t>
        </w:r>
      </w:hyperlink>
    </w:p>
    <w:p w:rsidR="005B6519" w:rsidRDefault="005B6519" w:rsidP="00D61563"/>
    <w:p w:rsidR="007B76AD" w:rsidRPr="00C86024" w:rsidRDefault="00C86024" w:rsidP="00C86024">
      <w:pPr>
        <w:autoSpaceDE w:val="0"/>
        <w:autoSpaceDN w:val="0"/>
        <w:adjustRightInd w:val="0"/>
        <w:rPr>
          <w:b/>
          <w:sz w:val="32"/>
          <w:szCs w:val="32"/>
        </w:rPr>
      </w:pPr>
      <w:r w:rsidRPr="00C86024">
        <w:rPr>
          <w:b/>
          <w:bCs/>
          <w:sz w:val="32"/>
          <w:szCs w:val="32"/>
        </w:rPr>
        <w:t>Směrnice o nájemném</w:t>
      </w:r>
      <w:r w:rsidR="0038321B">
        <w:rPr>
          <w:b/>
          <w:bCs/>
          <w:sz w:val="32"/>
          <w:szCs w:val="32"/>
        </w:rPr>
        <w:t xml:space="preserve"> a službách – výtahy</w:t>
      </w:r>
    </w:p>
    <w:p w:rsidR="00C86024" w:rsidRPr="00C86024" w:rsidRDefault="00C86024" w:rsidP="00C86024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12A" w:rsidRDefault="007B76AD" w:rsidP="00AD312A">
      <w:pPr>
        <w:pStyle w:val="Bezmezer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AD312A">
        <w:rPr>
          <w:rFonts w:ascii="Times New Roman" w:hAnsi="Times New Roman" w:cs="Times New Roman"/>
          <w:bCs/>
          <w:sz w:val="24"/>
          <w:szCs w:val="24"/>
        </w:rPr>
        <w:t>Směrnice o nájemném z družstevních bytů a družstevních nebytových prostorů a úhradách za plnění spojená s užíváním těchto bytů a nebytových prostorů</w:t>
      </w:r>
      <w:r w:rsidR="00CD06D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8321B" w:rsidRPr="00CD06D2">
        <w:rPr>
          <w:rFonts w:ascii="Times New Roman" w:hAnsi="Times New Roman" w:cs="Times New Roman"/>
          <w:bCs/>
          <w:sz w:val="24"/>
          <w:szCs w:val="24"/>
        </w:rPr>
        <w:t>jak zní její celý název</w:t>
      </w:r>
      <w:r w:rsidR="00CD06D2">
        <w:rPr>
          <w:rFonts w:ascii="Times New Roman" w:hAnsi="Times New Roman" w:cs="Times New Roman"/>
          <w:bCs/>
          <w:sz w:val="24"/>
          <w:szCs w:val="24"/>
        </w:rPr>
        <w:t>,</w:t>
      </w:r>
      <w:r w:rsidR="00CD06D2" w:rsidRPr="00CD06D2">
        <w:rPr>
          <w:rFonts w:ascii="Times New Roman" w:hAnsi="Times New Roman" w:cs="Times New Roman"/>
          <w:bCs/>
          <w:sz w:val="24"/>
          <w:szCs w:val="24"/>
        </w:rPr>
        <w:t xml:space="preserve"> dále </w:t>
      </w:r>
      <w:r w:rsidR="006F5920">
        <w:rPr>
          <w:rFonts w:ascii="Times New Roman" w:hAnsi="Times New Roman" w:cs="Times New Roman"/>
          <w:bCs/>
          <w:sz w:val="24"/>
          <w:szCs w:val="24"/>
        </w:rPr>
        <w:t>též</w:t>
      </w:r>
      <w:r w:rsidR="00CD06D2" w:rsidRPr="00CD06D2">
        <w:rPr>
          <w:rFonts w:ascii="Times New Roman" w:hAnsi="Times New Roman" w:cs="Times New Roman"/>
          <w:bCs/>
          <w:sz w:val="24"/>
          <w:szCs w:val="24"/>
        </w:rPr>
        <w:t xml:space="preserve"> Směrnice</w:t>
      </w:r>
      <w:r w:rsidR="00CD06D2">
        <w:rPr>
          <w:rFonts w:ascii="Times New Roman" w:hAnsi="Times New Roman" w:cs="Times New Roman"/>
          <w:bCs/>
          <w:sz w:val="24"/>
          <w:szCs w:val="24"/>
        </w:rPr>
        <w:t>)</w:t>
      </w:r>
      <w:r w:rsidR="0038321B" w:rsidRPr="00AD3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12A">
        <w:rPr>
          <w:rFonts w:ascii="Times New Roman" w:hAnsi="Times New Roman" w:cs="Times New Roman"/>
          <w:bCs/>
          <w:sz w:val="24"/>
          <w:szCs w:val="24"/>
        </w:rPr>
        <w:t xml:space="preserve">schválená </w:t>
      </w:r>
      <w:r w:rsidRPr="00AD312A">
        <w:rPr>
          <w:rFonts w:ascii="Times New Roman" w:hAnsi="Times New Roman" w:cs="Times New Roman"/>
          <w:sz w:val="24"/>
          <w:szCs w:val="24"/>
        </w:rPr>
        <w:t xml:space="preserve">shromáždění delegátů SBD </w:t>
      </w:r>
      <w:proofErr w:type="spellStart"/>
      <w:r w:rsidRPr="00AD312A">
        <w:rPr>
          <w:rFonts w:ascii="Times New Roman" w:hAnsi="Times New Roman" w:cs="Times New Roman"/>
          <w:sz w:val="24"/>
          <w:szCs w:val="24"/>
        </w:rPr>
        <w:t>Těšíňan</w:t>
      </w:r>
      <w:proofErr w:type="spellEnd"/>
      <w:r w:rsidRPr="00AD312A">
        <w:rPr>
          <w:rFonts w:ascii="Times New Roman" w:hAnsi="Times New Roman" w:cs="Times New Roman"/>
          <w:sz w:val="24"/>
          <w:szCs w:val="24"/>
        </w:rPr>
        <w:t xml:space="preserve"> 24. 11. 2015 s účinností ode dne 1. 1. 2016</w:t>
      </w:r>
      <w:r w:rsidR="00EE5774">
        <w:rPr>
          <w:rFonts w:ascii="Times New Roman" w:hAnsi="Times New Roman" w:cs="Times New Roman"/>
          <w:sz w:val="24"/>
          <w:szCs w:val="24"/>
        </w:rPr>
        <w:t xml:space="preserve"> stanoví, že cena služby provoz/užívání</w:t>
      </w:r>
      <w:r w:rsidRPr="00AD312A">
        <w:rPr>
          <w:rFonts w:ascii="Times New Roman" w:hAnsi="Times New Roman" w:cs="Times New Roman"/>
          <w:sz w:val="24"/>
          <w:szCs w:val="24"/>
        </w:rPr>
        <w:t xml:space="preserve"> výtahu se rozúčtuje na nájemce bytů v domě </w:t>
      </w:r>
      <w:r w:rsidRPr="00AD312A">
        <w:rPr>
          <w:rFonts w:ascii="Times New Roman" w:hAnsi="Times New Roman" w:cs="Times New Roman"/>
          <w:sz w:val="24"/>
          <w:szCs w:val="24"/>
          <w:u w:val="single"/>
        </w:rPr>
        <w:t>podle počtu osob užívajících příslušný byt</w:t>
      </w:r>
      <w:r w:rsidRPr="00AD31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312A" w:rsidRPr="00ED5EC9" w:rsidRDefault="007B76AD" w:rsidP="00AD312A">
      <w:pPr>
        <w:pStyle w:val="Bezmezer"/>
        <w:spacing w:after="80"/>
        <w:jc w:val="both"/>
        <w:rPr>
          <w:rFonts w:ascii="Times New Roman" w:hAnsi="Times New Roman" w:cs="Times New Roman"/>
        </w:rPr>
      </w:pPr>
      <w:r w:rsidRPr="00ED5EC9">
        <w:rPr>
          <w:rFonts w:ascii="Times New Roman" w:hAnsi="Times New Roman" w:cs="Times New Roman"/>
        </w:rPr>
        <w:t xml:space="preserve">To neplatí pouze pro byty v přízemí a 2. nadzemním podlaží (1. patro), pro které je stanoven paušální poplatek, o jehož výši rozhoduje představenstvo (v současnosti je výše paušálního poplatku </w:t>
      </w:r>
      <w:r w:rsidRPr="00ED5EC9">
        <w:rPr>
          <w:rFonts w:ascii="Times New Roman" w:hAnsi="Times New Roman" w:cs="Times New Roman"/>
          <w:bCs/>
        </w:rPr>
        <w:t>5,00</w:t>
      </w:r>
      <w:r w:rsidR="00CD06D2" w:rsidRPr="00ED5EC9">
        <w:rPr>
          <w:rFonts w:ascii="Times New Roman" w:hAnsi="Times New Roman" w:cs="Times New Roman"/>
          <w:bCs/>
        </w:rPr>
        <w:t> </w:t>
      </w:r>
      <w:r w:rsidRPr="00ED5EC9">
        <w:rPr>
          <w:rFonts w:ascii="Times New Roman" w:hAnsi="Times New Roman" w:cs="Times New Roman"/>
        </w:rPr>
        <w:t>Kč/</w:t>
      </w:r>
      <w:proofErr w:type="spellStart"/>
      <w:r w:rsidRPr="00ED5EC9">
        <w:rPr>
          <w:rFonts w:ascii="Times New Roman" w:hAnsi="Times New Roman" w:cs="Times New Roman"/>
        </w:rPr>
        <w:t>měs</w:t>
      </w:r>
      <w:proofErr w:type="spellEnd"/>
      <w:r w:rsidRPr="00ED5EC9">
        <w:rPr>
          <w:rFonts w:ascii="Times New Roman" w:hAnsi="Times New Roman" w:cs="Times New Roman"/>
        </w:rPr>
        <w:t>./byt). O součet paušálních poplatků v domě se pak sníží náklady k rozúčtování na nájemce ostatních byt</w:t>
      </w:r>
      <w:r w:rsidR="00AD312A" w:rsidRPr="00ED5EC9">
        <w:rPr>
          <w:rFonts w:ascii="Times New Roman" w:hAnsi="Times New Roman" w:cs="Times New Roman"/>
        </w:rPr>
        <w:t>ů</w:t>
      </w:r>
      <w:r w:rsidRPr="00ED5EC9">
        <w:rPr>
          <w:rFonts w:ascii="Times New Roman" w:hAnsi="Times New Roman" w:cs="Times New Roman"/>
        </w:rPr>
        <w:t>. V</w:t>
      </w:r>
      <w:r w:rsidR="00AD312A" w:rsidRPr="00ED5EC9">
        <w:rPr>
          <w:rFonts w:ascii="Times New Roman" w:hAnsi="Times New Roman" w:cs="Times New Roman"/>
        </w:rPr>
        <w:t> </w:t>
      </w:r>
      <w:r w:rsidRPr="00ED5EC9">
        <w:rPr>
          <w:rFonts w:ascii="Times New Roman" w:hAnsi="Times New Roman" w:cs="Times New Roman"/>
        </w:rPr>
        <w:t>případ</w:t>
      </w:r>
      <w:r w:rsidR="00EE5774">
        <w:rPr>
          <w:rFonts w:ascii="Times New Roman" w:hAnsi="Times New Roman" w:cs="Times New Roman"/>
        </w:rPr>
        <w:t>ech</w:t>
      </w:r>
      <w:r w:rsidR="00AD312A" w:rsidRPr="00ED5EC9">
        <w:rPr>
          <w:rFonts w:ascii="Times New Roman" w:hAnsi="Times New Roman" w:cs="Times New Roman"/>
        </w:rPr>
        <w:t>,</w:t>
      </w:r>
      <w:r w:rsidRPr="00ED5EC9">
        <w:rPr>
          <w:rFonts w:ascii="Times New Roman" w:hAnsi="Times New Roman" w:cs="Times New Roman"/>
        </w:rPr>
        <w:t xml:space="preserve"> </w:t>
      </w:r>
      <w:r w:rsidR="00CD06D2" w:rsidRPr="00ED5EC9">
        <w:rPr>
          <w:rFonts w:ascii="Times New Roman" w:hAnsi="Times New Roman" w:cs="Times New Roman"/>
        </w:rPr>
        <w:t>kdy nebudou</w:t>
      </w:r>
      <w:r w:rsidRPr="00ED5EC9">
        <w:rPr>
          <w:rFonts w:ascii="Times New Roman" w:hAnsi="Times New Roman" w:cs="Times New Roman"/>
        </w:rPr>
        <w:t xml:space="preserve"> údaje o počtu osob v bytech v požadovaném termínu z domu dodány, rozúčtují se náklady snížené o</w:t>
      </w:r>
      <w:r w:rsidR="00CE28E0">
        <w:rPr>
          <w:rFonts w:ascii="Times New Roman" w:hAnsi="Times New Roman" w:cs="Times New Roman"/>
        </w:rPr>
        <w:t> </w:t>
      </w:r>
      <w:r w:rsidRPr="00ED5EC9">
        <w:rPr>
          <w:rFonts w:ascii="Times New Roman" w:hAnsi="Times New Roman" w:cs="Times New Roman"/>
        </w:rPr>
        <w:t>paušální poplatky podle poměru podlahové plochy bytu k celkové podlahové ploše všech byt</w:t>
      </w:r>
      <w:r w:rsidR="00EE5774">
        <w:rPr>
          <w:rFonts w:ascii="Times New Roman" w:hAnsi="Times New Roman" w:cs="Times New Roman"/>
        </w:rPr>
        <w:t>ů</w:t>
      </w:r>
      <w:r w:rsidRPr="00ED5EC9">
        <w:rPr>
          <w:rFonts w:ascii="Times New Roman" w:hAnsi="Times New Roman" w:cs="Times New Roman"/>
        </w:rPr>
        <w:t xml:space="preserve"> v domě snížené o součet ploch bytů s paušálním poplatkem.</w:t>
      </w:r>
    </w:p>
    <w:p w:rsidR="00CD06D2" w:rsidRDefault="00B70802" w:rsidP="00AD312A">
      <w:pPr>
        <w:pStyle w:val="Bezmezer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Jelikož i zákonná úprava počítá s osobami jako s kritériem pro rozúčtování této služby</w:t>
      </w:r>
      <w:r w:rsidR="00CD06D2">
        <w:rPr>
          <w:rFonts w:ascii="Times New Roman" w:hAnsi="Times New Roman" w:cs="Times New Roman"/>
          <w:sz w:val="24"/>
          <w:szCs w:val="24"/>
        </w:rPr>
        <w:t xml:space="preserve"> </w:t>
      </w:r>
      <w:r w:rsidR="00CD06D2" w:rsidRPr="00CD06D2">
        <w:rPr>
          <w:rFonts w:ascii="Times New Roman" w:hAnsi="Times New Roman" w:cs="Times New Roman"/>
          <w:i/>
          <w:sz w:val="24"/>
          <w:szCs w:val="24"/>
        </w:rPr>
        <w:t>(</w:t>
      </w:r>
      <w:r w:rsidR="006B4B87">
        <w:rPr>
          <w:rFonts w:ascii="Times New Roman" w:hAnsi="Times New Roman" w:cs="Times New Roman"/>
          <w:i/>
          <w:sz w:val="24"/>
          <w:szCs w:val="24"/>
        </w:rPr>
        <w:t>tedy</w:t>
      </w:r>
      <w:r w:rsidR="006B4B87" w:rsidRPr="00CD0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6D2" w:rsidRPr="00CD06D2">
        <w:rPr>
          <w:rFonts w:ascii="Times New Roman" w:hAnsi="Times New Roman" w:cs="Times New Roman"/>
          <w:i/>
          <w:sz w:val="24"/>
          <w:szCs w:val="24"/>
        </w:rPr>
        <w:t>v</w:t>
      </w:r>
      <w:r w:rsidR="006B4B87">
        <w:rPr>
          <w:rFonts w:ascii="Times New Roman" w:hAnsi="Times New Roman" w:cs="Times New Roman"/>
          <w:i/>
          <w:sz w:val="24"/>
          <w:szCs w:val="24"/>
        </w:rPr>
        <w:t> </w:t>
      </w:r>
      <w:r w:rsidR="00CD06D2" w:rsidRPr="00CD06D2">
        <w:rPr>
          <w:rFonts w:ascii="Times New Roman" w:hAnsi="Times New Roman" w:cs="Times New Roman"/>
          <w:i/>
          <w:sz w:val="24"/>
          <w:szCs w:val="24"/>
        </w:rPr>
        <w:t>případě,</w:t>
      </w:r>
      <w:r w:rsidR="00CD06D2">
        <w:rPr>
          <w:rFonts w:ascii="Times New Roman" w:hAnsi="Times New Roman" w:cs="Times New Roman"/>
          <w:i/>
          <w:sz w:val="24"/>
          <w:szCs w:val="24"/>
        </w:rPr>
        <w:t xml:space="preserve"> že družstvem není rozhodnuto o odlišném postupu</w:t>
      </w:r>
      <w:r w:rsidR="00CD06D2" w:rsidRPr="00CD06D2">
        <w:rPr>
          <w:rFonts w:ascii="Times New Roman" w:hAnsi="Times New Roman" w:cs="Times New Roman"/>
          <w:i/>
          <w:sz w:val="24"/>
          <w:szCs w:val="24"/>
        </w:rPr>
        <w:t>)</w:t>
      </w:r>
      <w:r w:rsidR="00CD06D2">
        <w:rPr>
          <w:rFonts w:ascii="Times New Roman" w:hAnsi="Times New Roman" w:cs="Times New Roman"/>
          <w:sz w:val="24"/>
          <w:szCs w:val="24"/>
        </w:rPr>
        <w:t>, byla t</w:t>
      </w:r>
      <w:r w:rsidR="00AD312A">
        <w:rPr>
          <w:rFonts w:ascii="Times New Roman" w:hAnsi="Times New Roman" w:cs="Times New Roman"/>
          <w:sz w:val="24"/>
          <w:szCs w:val="24"/>
        </w:rPr>
        <w:t xml:space="preserve">ato pravidla </w:t>
      </w:r>
      <w:r w:rsidR="00CD06D2">
        <w:rPr>
          <w:rFonts w:ascii="Times New Roman" w:hAnsi="Times New Roman" w:cs="Times New Roman"/>
          <w:sz w:val="24"/>
          <w:szCs w:val="24"/>
        </w:rPr>
        <w:t>v podstatě</w:t>
      </w:r>
      <w:r w:rsidR="00AD312A">
        <w:rPr>
          <w:rFonts w:ascii="Times New Roman" w:hAnsi="Times New Roman" w:cs="Times New Roman"/>
          <w:sz w:val="24"/>
          <w:szCs w:val="24"/>
        </w:rPr>
        <w:t xml:space="preserve"> převzata z dříve platného znění směrnice</w:t>
      </w:r>
      <w:r w:rsidR="00CD06D2">
        <w:rPr>
          <w:rFonts w:ascii="Times New Roman" w:hAnsi="Times New Roman" w:cs="Times New Roman"/>
          <w:sz w:val="24"/>
          <w:szCs w:val="24"/>
        </w:rPr>
        <w:t xml:space="preserve">, tím pádem </w:t>
      </w:r>
      <w:r>
        <w:rPr>
          <w:rFonts w:ascii="Times New Roman" w:hAnsi="Times New Roman" w:cs="Times New Roman"/>
          <w:sz w:val="24"/>
          <w:szCs w:val="24"/>
        </w:rPr>
        <w:t xml:space="preserve">jsou prověřena </w:t>
      </w:r>
      <w:r w:rsidR="00CD06D2">
        <w:rPr>
          <w:rFonts w:ascii="Times New Roman" w:hAnsi="Times New Roman" w:cs="Times New Roman"/>
          <w:sz w:val="24"/>
          <w:szCs w:val="24"/>
        </w:rPr>
        <w:t xml:space="preserve">dlouholetou, nutno dodat takřka bezproblémovou, </w:t>
      </w:r>
      <w:r>
        <w:rPr>
          <w:rFonts w:ascii="Times New Roman" w:hAnsi="Times New Roman" w:cs="Times New Roman"/>
          <w:sz w:val="24"/>
          <w:szCs w:val="24"/>
        </w:rPr>
        <w:t>praxí</w:t>
      </w:r>
      <w:r w:rsidR="00CD0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920" w:rsidRDefault="00CD06D2" w:rsidP="00AD312A">
      <w:pPr>
        <w:pStyle w:val="Bezmezer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však </w:t>
      </w:r>
      <w:r w:rsidR="004203DE">
        <w:rPr>
          <w:rFonts w:ascii="Times New Roman" w:hAnsi="Times New Roman" w:cs="Times New Roman"/>
          <w:sz w:val="24"/>
          <w:szCs w:val="24"/>
        </w:rPr>
        <w:t>Směrnice přinesl</w:t>
      </w:r>
      <w:r w:rsidR="006F5920">
        <w:rPr>
          <w:rFonts w:ascii="Times New Roman" w:hAnsi="Times New Roman" w:cs="Times New Roman"/>
          <w:sz w:val="24"/>
          <w:szCs w:val="24"/>
        </w:rPr>
        <w:t>a</w:t>
      </w:r>
      <w:r w:rsidR="004203DE">
        <w:rPr>
          <w:rFonts w:ascii="Times New Roman" w:hAnsi="Times New Roman" w:cs="Times New Roman"/>
          <w:sz w:val="24"/>
          <w:szCs w:val="24"/>
        </w:rPr>
        <w:t xml:space="preserve"> nově, je </w:t>
      </w:r>
      <w:r w:rsidR="004203DE" w:rsidRPr="006B4B87">
        <w:rPr>
          <w:rFonts w:ascii="Times New Roman" w:hAnsi="Times New Roman" w:cs="Times New Roman"/>
          <w:b/>
          <w:sz w:val="24"/>
          <w:szCs w:val="24"/>
        </w:rPr>
        <w:t>nutnost rozlišovat náklady spojené s existencí výtahu/ů v domě na „nájemné“ a „služby“</w:t>
      </w:r>
      <w:r w:rsidR="004203DE">
        <w:rPr>
          <w:rFonts w:ascii="Times New Roman" w:hAnsi="Times New Roman" w:cs="Times New Roman"/>
          <w:sz w:val="24"/>
          <w:szCs w:val="24"/>
        </w:rPr>
        <w:t xml:space="preserve">, </w:t>
      </w:r>
      <w:r w:rsidR="006B4B87">
        <w:rPr>
          <w:rFonts w:ascii="Times New Roman" w:hAnsi="Times New Roman" w:cs="Times New Roman"/>
          <w:sz w:val="24"/>
          <w:szCs w:val="24"/>
        </w:rPr>
        <w:t xml:space="preserve">nově se to projevuje zejména </w:t>
      </w:r>
      <w:r w:rsidR="004203DE">
        <w:rPr>
          <w:rFonts w:ascii="Times New Roman" w:hAnsi="Times New Roman" w:cs="Times New Roman"/>
          <w:sz w:val="24"/>
          <w:szCs w:val="24"/>
        </w:rPr>
        <w:t>u platby měsíčního paušálu servisní firmě. S tím souvisí i odlišný způsob účtování počínaje lednem 2016, což řada předsedů samospráv zaregistrovala v</w:t>
      </w:r>
      <w:r w:rsidR="006F5920">
        <w:rPr>
          <w:rFonts w:ascii="Times New Roman" w:hAnsi="Times New Roman" w:cs="Times New Roman"/>
          <w:sz w:val="24"/>
          <w:szCs w:val="24"/>
        </w:rPr>
        <w:t> </w:t>
      </w:r>
      <w:r w:rsidR="004203DE">
        <w:rPr>
          <w:rFonts w:ascii="Times New Roman" w:hAnsi="Times New Roman" w:cs="Times New Roman"/>
          <w:sz w:val="24"/>
          <w:szCs w:val="24"/>
        </w:rPr>
        <w:t>okamžiku</w:t>
      </w:r>
      <w:r w:rsidR="006F5920">
        <w:rPr>
          <w:rFonts w:ascii="Times New Roman" w:hAnsi="Times New Roman" w:cs="Times New Roman"/>
          <w:sz w:val="24"/>
          <w:szCs w:val="24"/>
        </w:rPr>
        <w:t>, kdy obdrželi čtvrtletní výpisy z dlouhodobé zálohy.</w:t>
      </w:r>
    </w:p>
    <w:p w:rsidR="006F5920" w:rsidRDefault="0038321B" w:rsidP="006F5920">
      <w:pPr>
        <w:pStyle w:val="Bezmezer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F5920">
        <w:rPr>
          <w:rFonts w:ascii="Times New Roman" w:hAnsi="Times New Roman" w:cs="Times New Roman"/>
          <w:sz w:val="24"/>
          <w:szCs w:val="24"/>
        </w:rPr>
        <w:t>Změny v účtování nákladů souvisejících s výtahy v domě vyplynuly ze změn právních předpisů, které řeší problematiku nájemného a hlavně služeb v našich bytech, tedy zákona č. 90/2012 Sb., zákon o</w:t>
      </w:r>
      <w:r w:rsidR="00CE28E0">
        <w:rPr>
          <w:rFonts w:ascii="Times New Roman" w:hAnsi="Times New Roman" w:cs="Times New Roman"/>
          <w:sz w:val="24"/>
          <w:szCs w:val="24"/>
        </w:rPr>
        <w:t> </w:t>
      </w:r>
      <w:r w:rsidRPr="006F5920">
        <w:rPr>
          <w:rFonts w:ascii="Times New Roman" w:hAnsi="Times New Roman" w:cs="Times New Roman"/>
          <w:sz w:val="24"/>
          <w:szCs w:val="24"/>
        </w:rPr>
        <w:t>obchodních korporacích (§ 744 – podle kterého nájemné může zahrnovat pouze účelně vynaložené náklady (dříve ekonomicky oprávněné) bytového družstva vzniklé při správě bytů, včetně nákladů na opravy, modernizace a rekonstrukce domu a příspěvku na tvorbu dlouhodobého finančního zdroje na opravy a investice, tj. dlouhodobé zálohy), a zákona č. 67/2013 Sb., kterým se upravují některé otázky související s poskytováním plnění spojených s užíváním bytů a nebytových prostorů v domě s byty (tj. zákon o službách v platném znění).</w:t>
      </w:r>
    </w:p>
    <w:p w:rsidR="0038321B" w:rsidRPr="006F5920" w:rsidRDefault="0038321B" w:rsidP="006F5920">
      <w:pPr>
        <w:pStyle w:val="Bezmezer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F5920">
        <w:rPr>
          <w:rFonts w:ascii="Times New Roman" w:hAnsi="Times New Roman" w:cs="Times New Roman"/>
          <w:sz w:val="24"/>
          <w:szCs w:val="24"/>
        </w:rPr>
        <w:t xml:space="preserve">Na základě uvedených předpisů pak družstvo, v souladu s čl. 66 odst. 2 písm. q) a čl. 101 odst. 3) </w:t>
      </w:r>
      <w:r w:rsidRPr="006F5920">
        <w:rPr>
          <w:rFonts w:ascii="Times New Roman" w:hAnsi="Times New Roman" w:cs="Times New Roman"/>
          <w:bCs/>
          <w:sz w:val="24"/>
          <w:szCs w:val="24"/>
        </w:rPr>
        <w:t xml:space="preserve">Stanov SBD </w:t>
      </w:r>
      <w:proofErr w:type="spellStart"/>
      <w:r w:rsidRPr="006F5920">
        <w:rPr>
          <w:rFonts w:ascii="Times New Roman" w:hAnsi="Times New Roman" w:cs="Times New Roman"/>
          <w:bCs/>
          <w:sz w:val="24"/>
          <w:szCs w:val="24"/>
        </w:rPr>
        <w:t>Těšíňan</w:t>
      </w:r>
      <w:proofErr w:type="spellEnd"/>
      <w:r w:rsidRPr="006F5920">
        <w:rPr>
          <w:rFonts w:ascii="Times New Roman" w:hAnsi="Times New Roman" w:cs="Times New Roman"/>
          <w:bCs/>
          <w:sz w:val="24"/>
          <w:szCs w:val="24"/>
        </w:rPr>
        <w:t>,</w:t>
      </w:r>
      <w:r w:rsidRPr="006F5920">
        <w:rPr>
          <w:rFonts w:ascii="Times New Roman" w:hAnsi="Times New Roman" w:cs="Times New Roman"/>
          <w:sz w:val="24"/>
          <w:szCs w:val="24"/>
        </w:rPr>
        <w:t xml:space="preserve"> rozhodnutím shromáždění delegátů dne 24. 11. 2015 rozhodlo o přijetí příslušné směrnice – </w:t>
      </w:r>
      <w:r w:rsidR="006F5920" w:rsidRPr="006F5920">
        <w:rPr>
          <w:rFonts w:ascii="Times New Roman" w:hAnsi="Times New Roman" w:cs="Times New Roman"/>
          <w:sz w:val="24"/>
          <w:szCs w:val="24"/>
        </w:rPr>
        <w:t xml:space="preserve">tedy </w:t>
      </w:r>
      <w:r w:rsidRPr="006F5920">
        <w:rPr>
          <w:rFonts w:ascii="Times New Roman" w:hAnsi="Times New Roman" w:cs="Times New Roman"/>
          <w:b/>
          <w:bCs/>
          <w:sz w:val="24"/>
          <w:szCs w:val="24"/>
        </w:rPr>
        <w:t>Směrnice o nájemném z družstevních bytů a družstevních nebytových prostorů a</w:t>
      </w:r>
      <w:r w:rsidR="00CE28E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F5920">
        <w:rPr>
          <w:rFonts w:ascii="Times New Roman" w:hAnsi="Times New Roman" w:cs="Times New Roman"/>
          <w:b/>
          <w:bCs/>
          <w:sz w:val="24"/>
          <w:szCs w:val="24"/>
        </w:rPr>
        <w:t>úhradách za plnění spojená s užíváním těchto bytů a nebytových prostorů</w:t>
      </w:r>
      <w:r w:rsidR="006F5920" w:rsidRPr="006F59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5920">
        <w:rPr>
          <w:rFonts w:ascii="Times New Roman" w:hAnsi="Times New Roman" w:cs="Times New Roman"/>
          <w:bCs/>
          <w:sz w:val="24"/>
          <w:szCs w:val="24"/>
        </w:rPr>
        <w:t xml:space="preserve">Směrnice vychází rovněž z čl. 40 Stanov SBD </w:t>
      </w:r>
      <w:proofErr w:type="spellStart"/>
      <w:r w:rsidRPr="006F5920">
        <w:rPr>
          <w:rFonts w:ascii="Times New Roman" w:hAnsi="Times New Roman" w:cs="Times New Roman"/>
          <w:bCs/>
          <w:sz w:val="24"/>
          <w:szCs w:val="24"/>
        </w:rPr>
        <w:t>Těšíňan</w:t>
      </w:r>
      <w:proofErr w:type="spellEnd"/>
      <w:r w:rsidRPr="006F5920">
        <w:rPr>
          <w:rFonts w:ascii="Times New Roman" w:hAnsi="Times New Roman" w:cs="Times New Roman"/>
          <w:bCs/>
          <w:sz w:val="24"/>
          <w:szCs w:val="24"/>
        </w:rPr>
        <w:t xml:space="preserve">, ve kterém je řešeno </w:t>
      </w:r>
      <w:r w:rsidRPr="006F5920">
        <w:rPr>
          <w:rFonts w:ascii="Times New Roman" w:hAnsi="Times New Roman" w:cs="Times New Roman"/>
          <w:sz w:val="24"/>
          <w:szCs w:val="24"/>
        </w:rPr>
        <w:t>nájemné a úhrada za plnění spojená s užíváním družstevního bytu, potažmo z čl. 101, který řeší dlouhodobou zálohu na opravy a</w:t>
      </w:r>
      <w:r w:rsidR="00CE28E0">
        <w:rPr>
          <w:rFonts w:ascii="Times New Roman" w:hAnsi="Times New Roman" w:cs="Times New Roman"/>
          <w:sz w:val="24"/>
          <w:szCs w:val="24"/>
        </w:rPr>
        <w:t> </w:t>
      </w:r>
      <w:r w:rsidRPr="006F5920">
        <w:rPr>
          <w:rFonts w:ascii="Times New Roman" w:hAnsi="Times New Roman" w:cs="Times New Roman"/>
          <w:sz w:val="24"/>
          <w:szCs w:val="24"/>
        </w:rPr>
        <w:t>dodatečné investice; podle odst. 2) tohoto článku se záloha používá na financování oprav, údržby, případně dalších provozních nákladů (</w:t>
      </w:r>
      <w:r w:rsidRPr="006F5920">
        <w:rPr>
          <w:rFonts w:ascii="Times New Roman" w:hAnsi="Times New Roman" w:cs="Times New Roman"/>
          <w:b/>
          <w:i/>
          <w:sz w:val="24"/>
          <w:szCs w:val="24"/>
        </w:rPr>
        <w:t>tedy i nákladů za revize, odborné prohlídky a kontroly, inspekční prohlídky…</w:t>
      </w:r>
      <w:r w:rsidRPr="006F5920">
        <w:rPr>
          <w:rFonts w:ascii="Times New Roman" w:hAnsi="Times New Roman" w:cs="Times New Roman"/>
          <w:sz w:val="24"/>
          <w:szCs w:val="24"/>
        </w:rPr>
        <w:t>) a na financování investičních výdajů, zejména rekonstrukcí a modernizací bytového domu.</w:t>
      </w:r>
      <w:r w:rsidR="006F5920" w:rsidRPr="006F5920">
        <w:rPr>
          <w:rFonts w:ascii="Times New Roman" w:hAnsi="Times New Roman" w:cs="Times New Roman"/>
          <w:sz w:val="24"/>
          <w:szCs w:val="24"/>
        </w:rPr>
        <w:t xml:space="preserve"> </w:t>
      </w:r>
      <w:r w:rsidRPr="006F5920">
        <w:rPr>
          <w:rFonts w:ascii="Times New Roman" w:hAnsi="Times New Roman" w:cs="Times New Roman"/>
          <w:sz w:val="24"/>
          <w:szCs w:val="24"/>
        </w:rPr>
        <w:t>Stejně jako právní předpisy jsou i stanovy a veškeré vnitrodružstevní směrnice závazné pro všechny členy družstva i všechny samosprávy.</w:t>
      </w:r>
    </w:p>
    <w:p w:rsidR="0038321B" w:rsidRPr="006F5920" w:rsidRDefault="006F5920" w:rsidP="006F5920">
      <w:pPr>
        <w:spacing w:after="80"/>
        <w:jc w:val="both"/>
      </w:pPr>
      <w:r w:rsidRPr="006F5920">
        <w:t>Důležité výňatky ze S</w:t>
      </w:r>
      <w:r w:rsidR="0038321B" w:rsidRPr="006F5920">
        <w:t>měrnice:</w:t>
      </w:r>
    </w:p>
    <w:p w:rsidR="0038321B" w:rsidRPr="006F5920" w:rsidRDefault="0038321B" w:rsidP="0038321B">
      <w:pPr>
        <w:autoSpaceDE w:val="0"/>
        <w:autoSpaceDN w:val="0"/>
        <w:adjustRightInd w:val="0"/>
        <w:rPr>
          <w:b/>
          <w:bCs/>
        </w:rPr>
      </w:pPr>
      <w:r w:rsidRPr="006F5920">
        <w:rPr>
          <w:b/>
          <w:bCs/>
        </w:rPr>
        <w:t>čl. III</w:t>
      </w:r>
    </w:p>
    <w:p w:rsidR="0038321B" w:rsidRPr="006F5920" w:rsidRDefault="0038321B" w:rsidP="0038321B">
      <w:pPr>
        <w:autoSpaceDE w:val="0"/>
        <w:autoSpaceDN w:val="0"/>
        <w:adjustRightInd w:val="0"/>
        <w:rPr>
          <w:b/>
          <w:bCs/>
        </w:rPr>
      </w:pPr>
      <w:r w:rsidRPr="006F5920">
        <w:rPr>
          <w:b/>
          <w:bCs/>
        </w:rPr>
        <w:t>Nájemné</w:t>
      </w:r>
    </w:p>
    <w:p w:rsidR="0038321B" w:rsidRPr="006F5920" w:rsidRDefault="0038321B" w:rsidP="0038321B">
      <w:pPr>
        <w:autoSpaceDE w:val="0"/>
        <w:autoSpaceDN w:val="0"/>
        <w:adjustRightInd w:val="0"/>
      </w:pPr>
      <w:r w:rsidRPr="006F5920">
        <w:t>2) Účelně vynaloženými náklady a výdaji domu jsou:</w:t>
      </w:r>
    </w:p>
    <w:p w:rsidR="0038321B" w:rsidRPr="006F5920" w:rsidRDefault="0038321B" w:rsidP="0038321B">
      <w:pPr>
        <w:autoSpaceDE w:val="0"/>
        <w:autoSpaceDN w:val="0"/>
        <w:adjustRightInd w:val="0"/>
        <w:ind w:left="765" w:hanging="198"/>
      </w:pPr>
      <w:r w:rsidRPr="006F5920">
        <w:t>a) náklady na opravy a údržbu domu vč. kabelového rozvodu pro umožnění příjmu rozhlasového a televizního signálu (kabelová televize), které podle přílohy k této směrnici nejsou součástí cen služeb</w:t>
      </w:r>
      <w:r w:rsidRPr="00051BDE">
        <w:t xml:space="preserve">, </w:t>
      </w:r>
      <w:r w:rsidRPr="00051BDE">
        <w:rPr>
          <w:b/>
        </w:rPr>
        <w:t>náklady na revize zařízení a součástí domu</w:t>
      </w:r>
      <w:r w:rsidRPr="006F5920">
        <w:t>, výdaje na rekonstrukce a modernizace (dále jen "technické zhodnocení")</w:t>
      </w:r>
      <w:r w:rsidRPr="006F5920">
        <w:rPr>
          <w:vertAlign w:val="superscript"/>
        </w:rPr>
        <w:t>5</w:t>
      </w:r>
      <w:r w:rsidRPr="006F5920">
        <w:t xml:space="preserve"> domu, pokud nejsou uvedené náklady a výdaje hrazeny ze zdrojů podle odst. 3,</w:t>
      </w:r>
    </w:p>
    <w:p w:rsidR="0038321B" w:rsidRPr="006F5920" w:rsidRDefault="0038321B" w:rsidP="0038321B">
      <w:pPr>
        <w:jc w:val="both"/>
      </w:pPr>
    </w:p>
    <w:p w:rsidR="0038321B" w:rsidRPr="006F5920" w:rsidRDefault="0038321B" w:rsidP="0038321B">
      <w:pPr>
        <w:autoSpaceDE w:val="0"/>
        <w:autoSpaceDN w:val="0"/>
        <w:adjustRightInd w:val="0"/>
        <w:rPr>
          <w:bCs/>
          <w:i/>
        </w:rPr>
      </w:pPr>
      <w:r w:rsidRPr="006F5920">
        <w:rPr>
          <w:b/>
          <w:bCs/>
        </w:rPr>
        <w:lastRenderedPageBreak/>
        <w:t xml:space="preserve">Příloha </w:t>
      </w:r>
      <w:r w:rsidRPr="006F5920">
        <w:rPr>
          <w:bCs/>
          <w:i/>
        </w:rPr>
        <w:t>(</w:t>
      </w:r>
      <w:r w:rsidR="006F5920" w:rsidRPr="006F5920">
        <w:rPr>
          <w:bCs/>
          <w:i/>
        </w:rPr>
        <w:t>S</w:t>
      </w:r>
      <w:r w:rsidRPr="006F5920">
        <w:rPr>
          <w:bCs/>
          <w:i/>
        </w:rPr>
        <w:t>měrnice)</w:t>
      </w:r>
    </w:p>
    <w:p w:rsidR="0038321B" w:rsidRPr="006F5920" w:rsidRDefault="0038321B" w:rsidP="0038321B">
      <w:pPr>
        <w:autoSpaceDE w:val="0"/>
        <w:autoSpaceDN w:val="0"/>
        <w:adjustRightInd w:val="0"/>
        <w:rPr>
          <w:b/>
          <w:bCs/>
        </w:rPr>
      </w:pPr>
      <w:r w:rsidRPr="006F5920">
        <w:rPr>
          <w:b/>
          <w:bCs/>
        </w:rPr>
        <w:t>Stanovení cen služeb</w:t>
      </w:r>
    </w:p>
    <w:p w:rsidR="0038321B" w:rsidRPr="006F5920" w:rsidRDefault="0038321B" w:rsidP="0038321B">
      <w:pPr>
        <w:autoSpaceDE w:val="0"/>
        <w:autoSpaceDN w:val="0"/>
        <w:adjustRightInd w:val="0"/>
        <w:rPr>
          <w:b/>
          <w:bCs/>
        </w:rPr>
      </w:pPr>
      <w:r w:rsidRPr="006F5920">
        <w:rPr>
          <w:b/>
          <w:bCs/>
        </w:rPr>
        <w:t>a) Užívání výtahu</w:t>
      </w:r>
    </w:p>
    <w:p w:rsidR="0038321B" w:rsidRPr="006F5920" w:rsidRDefault="0038321B" w:rsidP="0038321B">
      <w:pPr>
        <w:autoSpaceDE w:val="0"/>
        <w:autoSpaceDN w:val="0"/>
        <w:adjustRightInd w:val="0"/>
      </w:pPr>
      <w:r w:rsidRPr="006F5920">
        <w:t xml:space="preserve">Do ceny služby se zahrnují náklady </w:t>
      </w:r>
      <w:proofErr w:type="gramStart"/>
      <w:r w:rsidRPr="006F5920">
        <w:t>na</w:t>
      </w:r>
      <w:proofErr w:type="gramEnd"/>
      <w:r w:rsidRPr="006F5920">
        <w:t>: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spotřebu elektrické energie na provoz výtahu (je-li samostatně měřena),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mazání výtahu včetně mazacích tuků a olejů,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provádění drobných oprav po odborné prohlídce,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seřizovací práce,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vyprošťování osob z výtahu,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údržbu a malé opravy k zabezpečení provozuschopného stavu výtahu a k odstranění nepojízdnosti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výtahu (do 5 tis. Kč vč. DPH/úkon),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čištění šachty a šachetní prohlubně,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vyproštění předmětu spadlých do prohlubně šachty nebo uvízlých v kleci,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obnovu poškozených předepsaných návodů a štítků na šachetních dveřích a v kleci výtahu,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opravy svítidla v kabině vč. výměny žárovky,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nátěry kabiny, šachetních dveří a šachty (do 5 tis. Kč vč. DPH/úkon),</w:t>
      </w:r>
    </w:p>
    <w:p w:rsidR="0038321B" w:rsidRPr="006F5920" w:rsidRDefault="0038321B" w:rsidP="0038321B">
      <w:pPr>
        <w:numPr>
          <w:ilvl w:val="0"/>
          <w:numId w:val="7"/>
        </w:numPr>
        <w:autoSpaceDE w:val="0"/>
        <w:autoSpaceDN w:val="0"/>
        <w:adjustRightInd w:val="0"/>
      </w:pPr>
      <w:r w:rsidRPr="006F5920">
        <w:t>výměnu rozbitých skel výtahu nebo šachetních dveří (do 5 tis. Kč vč. DPH/úkon).</w:t>
      </w:r>
    </w:p>
    <w:p w:rsidR="0038321B" w:rsidRPr="006F5920" w:rsidRDefault="0038321B" w:rsidP="00ED5EC9">
      <w:pPr>
        <w:autoSpaceDE w:val="0"/>
        <w:autoSpaceDN w:val="0"/>
        <w:adjustRightInd w:val="0"/>
        <w:spacing w:after="80"/>
        <w:jc w:val="both"/>
        <w:rPr>
          <w:highlight w:val="yellow"/>
        </w:rPr>
      </w:pPr>
      <w:r w:rsidRPr="006F5920">
        <w:t xml:space="preserve">Do ceny služby se </w:t>
      </w:r>
      <w:r w:rsidRPr="00051BDE">
        <w:rPr>
          <w:b/>
        </w:rPr>
        <w:t>nezahrnují</w:t>
      </w:r>
      <w:r w:rsidRPr="00051BDE">
        <w:t xml:space="preserve"> náklady na </w:t>
      </w:r>
      <w:r w:rsidRPr="00051BDE">
        <w:rPr>
          <w:b/>
        </w:rPr>
        <w:t>revize (vč. provádění odborných zkoušek, odborných a</w:t>
      </w:r>
      <w:r w:rsidR="00CE28E0">
        <w:rPr>
          <w:b/>
        </w:rPr>
        <w:t> </w:t>
      </w:r>
      <w:r w:rsidRPr="00051BDE">
        <w:rPr>
          <w:b/>
        </w:rPr>
        <w:t>provozních prohlídek)</w:t>
      </w:r>
      <w:r w:rsidRPr="00051BDE">
        <w:t>, střední</w:t>
      </w:r>
      <w:r w:rsidRPr="006F5920">
        <w:t xml:space="preserve"> a generální opravy výtahu (např. výměna hnacího zařízení, lan, vodících lišt, kabiny) a výdaje na modernizace a rekonstrukce výtahu (jsou součástí upravených nákladu domu a hradí se z nájemného).</w:t>
      </w:r>
    </w:p>
    <w:p w:rsidR="00AA6D5B" w:rsidRDefault="00ED5EC9" w:rsidP="00AA6D5B">
      <w:pPr>
        <w:spacing w:after="80"/>
        <w:jc w:val="both"/>
      </w:pPr>
      <w:r w:rsidRPr="00ED5EC9">
        <w:t xml:space="preserve">V praxi to znamená, že </w:t>
      </w:r>
      <w:r w:rsidR="0038321B" w:rsidRPr="00ED5EC9">
        <w:t xml:space="preserve">od 1. 1. 2016 </w:t>
      </w:r>
      <w:r w:rsidR="00EE5774" w:rsidRPr="00ED5EC9">
        <w:t xml:space="preserve">se </w:t>
      </w:r>
      <w:r w:rsidR="0038321B" w:rsidRPr="00ED5EC9">
        <w:t>účtuje do dlouhodobé zálohy (tedy do „nájemného“) ta část měsíčních paušálních úhrad spojených s provozem výtahu, která představuje odborné prohlídky (</w:t>
      </w:r>
      <w:r w:rsidR="00EE5774">
        <w:t>tj. </w:t>
      </w:r>
      <w:r w:rsidR="0038321B" w:rsidRPr="00ED5EC9">
        <w:t>363</w:t>
      </w:r>
      <w:r w:rsidRPr="00ED5EC9">
        <w:t> </w:t>
      </w:r>
      <w:r w:rsidR="0038321B" w:rsidRPr="00ED5EC9">
        <w:t>Kč/</w:t>
      </w:r>
      <w:proofErr w:type="spellStart"/>
      <w:r w:rsidR="0038321B" w:rsidRPr="00ED5EC9">
        <w:t>měs</w:t>
      </w:r>
      <w:proofErr w:type="spellEnd"/>
      <w:r w:rsidR="0038321B" w:rsidRPr="00ED5EC9">
        <w:t>./výtah), a dále veškeré úhrady za revize, odborné zkoušky, odborné</w:t>
      </w:r>
      <w:r w:rsidRPr="00ED5EC9">
        <w:t xml:space="preserve"> (tedy i inspekční) </w:t>
      </w:r>
      <w:r w:rsidR="0038321B" w:rsidRPr="00ED5EC9">
        <w:t>a provozní prohlídky</w:t>
      </w:r>
      <w:r w:rsidRPr="00ED5EC9">
        <w:t xml:space="preserve">. </w:t>
      </w:r>
      <w:r w:rsidR="00EE5774">
        <w:t>Zbývající</w:t>
      </w:r>
      <w:r w:rsidRPr="00ED5EC9">
        <w:t xml:space="preserve"> část měsíčního paušálu je účtována do nákladů za „služby“, které budou předmětem ročního vyúčtování služeb s jednotlivými nájemci.</w:t>
      </w:r>
    </w:p>
    <w:p w:rsidR="00871180" w:rsidRPr="00AA6D5B" w:rsidRDefault="00ED5EC9" w:rsidP="00ED5EC9">
      <w:pPr>
        <w:jc w:val="both"/>
      </w:pPr>
      <w:r w:rsidRPr="00ED5EC9">
        <w:rPr>
          <w:bCs/>
        </w:rPr>
        <w:t>Úplné znění</w:t>
      </w:r>
      <w:r w:rsidRPr="00ED5EC9">
        <w:rPr>
          <w:b/>
          <w:bCs/>
        </w:rPr>
        <w:t xml:space="preserve"> </w:t>
      </w:r>
      <w:r w:rsidR="0038321B" w:rsidRPr="00ED5EC9">
        <w:rPr>
          <w:b/>
          <w:bCs/>
        </w:rPr>
        <w:t>Směrnice o nájemném z družstevních bytů a družstevních nebytových prostorů a</w:t>
      </w:r>
      <w:r w:rsidR="00CE28E0">
        <w:rPr>
          <w:b/>
          <w:bCs/>
        </w:rPr>
        <w:t> </w:t>
      </w:r>
      <w:r w:rsidR="0038321B" w:rsidRPr="00ED5EC9">
        <w:rPr>
          <w:b/>
          <w:bCs/>
        </w:rPr>
        <w:t xml:space="preserve">úhradách za plnění spojená s užíváním těchto bytů a nebytových prostorů </w:t>
      </w:r>
      <w:r w:rsidR="0038321B" w:rsidRPr="00ED5EC9">
        <w:rPr>
          <w:bCs/>
        </w:rPr>
        <w:t>je uveden</w:t>
      </w:r>
      <w:r w:rsidRPr="00ED5EC9">
        <w:rPr>
          <w:bCs/>
        </w:rPr>
        <w:t>o</w:t>
      </w:r>
      <w:r w:rsidR="0038321B" w:rsidRPr="00ED5EC9">
        <w:rPr>
          <w:bCs/>
        </w:rPr>
        <w:t xml:space="preserve"> na webových stránkách družstva </w:t>
      </w:r>
      <w:hyperlink r:id="rId8" w:history="1">
        <w:r w:rsidR="0038321B" w:rsidRPr="00ED5EC9">
          <w:rPr>
            <w:rStyle w:val="Hypertextovodkaz"/>
            <w:bCs/>
            <w:color w:val="auto"/>
          </w:rPr>
          <w:t>www.tesinan.cz</w:t>
        </w:r>
      </w:hyperlink>
      <w:r w:rsidR="0038321B" w:rsidRPr="00ED5EC9">
        <w:rPr>
          <w:bCs/>
        </w:rPr>
        <w:t xml:space="preserve"> v záložce „Interní normy“ pod názvem „Směrnice o</w:t>
      </w:r>
      <w:r w:rsidR="00CE28E0">
        <w:rPr>
          <w:bCs/>
        </w:rPr>
        <w:t> </w:t>
      </w:r>
      <w:r w:rsidR="0038321B" w:rsidRPr="00ED5EC9">
        <w:rPr>
          <w:bCs/>
        </w:rPr>
        <w:t xml:space="preserve">nájemném“. </w:t>
      </w:r>
    </w:p>
    <w:p w:rsidR="00914AE9" w:rsidRDefault="00914AE9" w:rsidP="00914AE9">
      <w:pPr>
        <w:rPr>
          <w:b/>
          <w:sz w:val="32"/>
          <w:szCs w:val="32"/>
        </w:rPr>
      </w:pPr>
    </w:p>
    <w:p w:rsidR="00914AE9" w:rsidRDefault="000B0316" w:rsidP="00914AE9">
      <w:pPr>
        <w:rPr>
          <w:b/>
          <w:sz w:val="32"/>
          <w:szCs w:val="32"/>
        </w:rPr>
      </w:pPr>
      <w:r>
        <w:rPr>
          <w:b/>
          <w:sz w:val="32"/>
          <w:szCs w:val="32"/>
        </w:rPr>
        <w:t>Zvýšený pohyb zaměstnanců veřejných operátorů v našich domech</w:t>
      </w:r>
    </w:p>
    <w:p w:rsidR="00914AE9" w:rsidRDefault="00914AE9" w:rsidP="00ED5EC9">
      <w:pPr>
        <w:jc w:val="both"/>
        <w:rPr>
          <w:color w:val="FF0000"/>
        </w:rPr>
      </w:pPr>
    </w:p>
    <w:p w:rsidR="00ED5EC9" w:rsidRPr="00CE28E0" w:rsidRDefault="004629F1" w:rsidP="005D26D9">
      <w:pPr>
        <w:spacing w:after="80"/>
        <w:jc w:val="both"/>
        <w:rPr>
          <w:b/>
        </w:rPr>
      </w:pPr>
      <w:r w:rsidRPr="00CE28E0">
        <w:t>Již před časem byla v Informátoru (č. 9/2014 z 28. 8. 2014)</w:t>
      </w:r>
      <w:r w:rsidR="000B0316" w:rsidRPr="00CE28E0">
        <w:t xml:space="preserve"> </w:t>
      </w:r>
      <w:r w:rsidRPr="00CE28E0">
        <w:t xml:space="preserve">uvedena </w:t>
      </w:r>
      <w:r w:rsidR="004E68BC" w:rsidRPr="00CE28E0">
        <w:t xml:space="preserve">důležitá </w:t>
      </w:r>
      <w:r w:rsidRPr="00CE28E0">
        <w:t>informace, že p</w:t>
      </w:r>
      <w:r w:rsidR="00914AE9" w:rsidRPr="00CE28E0">
        <w:t xml:space="preserve">odle </w:t>
      </w:r>
      <w:r w:rsidR="00C76D07" w:rsidRPr="00CE28E0">
        <w:t>zákona č.</w:t>
      </w:r>
      <w:r w:rsidRPr="00CE28E0">
        <w:t> </w:t>
      </w:r>
      <w:r w:rsidR="00C76D07" w:rsidRPr="00CE28E0">
        <w:t>127/2005 Sb.</w:t>
      </w:r>
      <w:r w:rsidR="00100888">
        <w:t xml:space="preserve"> § 104</w:t>
      </w:r>
      <w:r w:rsidR="00C76D07" w:rsidRPr="00CE28E0">
        <w:t xml:space="preserve"> </w:t>
      </w:r>
      <w:r w:rsidR="00914AE9" w:rsidRPr="00CE28E0">
        <w:t>(záko</w:t>
      </w:r>
      <w:r w:rsidR="00100888">
        <w:t>n o elektronických komunikacích</w:t>
      </w:r>
      <w:r w:rsidR="00914AE9" w:rsidRPr="00CE28E0">
        <w:t xml:space="preserve"> v platném znění</w:t>
      </w:r>
      <w:r w:rsidR="00100888">
        <w:t>)</w:t>
      </w:r>
      <w:r w:rsidR="00C2748F" w:rsidRPr="00CE28E0">
        <w:t xml:space="preserve"> je vlastník dotčené nemovitosti (tedy </w:t>
      </w:r>
      <w:r w:rsidRPr="00CE28E0">
        <w:t xml:space="preserve">i družstvo jako </w:t>
      </w:r>
      <w:r w:rsidR="00C2748F" w:rsidRPr="00CE28E0">
        <w:t>vlastník</w:t>
      </w:r>
      <w:r w:rsidRPr="00CE28E0">
        <w:t>/správce</w:t>
      </w:r>
      <w:r w:rsidR="00C2748F" w:rsidRPr="00CE28E0">
        <w:t xml:space="preserve"> domů</w:t>
      </w:r>
      <w:r w:rsidR="00371B7A" w:rsidRPr="00CE28E0">
        <w:t xml:space="preserve">) povinen umožnit veřejnému operátorovi </w:t>
      </w:r>
      <w:r w:rsidR="00AB4C98" w:rsidRPr="00CE28E0">
        <w:rPr>
          <w:i/>
        </w:rPr>
        <w:t xml:space="preserve">(tomu, kdo </w:t>
      </w:r>
      <w:r w:rsidR="000E690C" w:rsidRPr="00CE28E0">
        <w:rPr>
          <w:i/>
        </w:rPr>
        <w:t>zajišťuje veřejnou komunikační síť</w:t>
      </w:r>
      <w:r w:rsidR="00AB4C98" w:rsidRPr="00CE28E0">
        <w:rPr>
          <w:i/>
        </w:rPr>
        <w:t xml:space="preserve"> a </w:t>
      </w:r>
      <w:r w:rsidR="000E690C" w:rsidRPr="00CE28E0">
        <w:rPr>
          <w:i/>
        </w:rPr>
        <w:t>poskyt</w:t>
      </w:r>
      <w:r w:rsidR="00AB4C98" w:rsidRPr="00CE28E0">
        <w:rPr>
          <w:i/>
        </w:rPr>
        <w:t>uje</w:t>
      </w:r>
      <w:r w:rsidR="000E690C" w:rsidRPr="00CE28E0">
        <w:rPr>
          <w:i/>
        </w:rPr>
        <w:t xml:space="preserve"> </w:t>
      </w:r>
      <w:r w:rsidR="00AB4C98" w:rsidRPr="00CE28E0">
        <w:rPr>
          <w:i/>
        </w:rPr>
        <w:t xml:space="preserve">služby elektronických komunikací, </w:t>
      </w:r>
      <w:r w:rsidR="00371B7A" w:rsidRPr="00CE28E0">
        <w:rPr>
          <w:i/>
        </w:rPr>
        <w:t>např. internetov</w:t>
      </w:r>
      <w:r w:rsidR="000B0316" w:rsidRPr="00CE28E0">
        <w:rPr>
          <w:i/>
        </w:rPr>
        <w:t>é</w:t>
      </w:r>
      <w:r w:rsidR="00371B7A" w:rsidRPr="00CE28E0">
        <w:rPr>
          <w:i/>
        </w:rPr>
        <w:t>, telefonní služ</w:t>
      </w:r>
      <w:r w:rsidR="000B0316" w:rsidRPr="00CE28E0">
        <w:rPr>
          <w:i/>
        </w:rPr>
        <w:t>by</w:t>
      </w:r>
      <w:r w:rsidR="00AB4C98" w:rsidRPr="00CE28E0">
        <w:rPr>
          <w:i/>
        </w:rPr>
        <w:t xml:space="preserve"> atd.</w:t>
      </w:r>
      <w:r w:rsidR="00371B7A" w:rsidRPr="00CE28E0">
        <w:rPr>
          <w:i/>
        </w:rPr>
        <w:t>)</w:t>
      </w:r>
      <w:r w:rsidR="00371B7A" w:rsidRPr="00CE28E0">
        <w:t xml:space="preserve"> instalaci jeho technického zařízení v domě k možnosti připojení kteréhokoliv uživatele bytu v domě </w:t>
      </w:r>
      <w:r w:rsidR="00371B7A" w:rsidRPr="00CE28E0">
        <w:rPr>
          <w:i/>
        </w:rPr>
        <w:t>(tj. jeho smluvního klienta)</w:t>
      </w:r>
      <w:r w:rsidR="00371B7A" w:rsidRPr="00CE28E0">
        <w:t xml:space="preserve"> na jeho služby. </w:t>
      </w:r>
      <w:r w:rsidR="00371B7A" w:rsidRPr="00CE28E0">
        <w:rPr>
          <w:b/>
        </w:rPr>
        <w:t>Toto je povinnost dána zákonem a jakékoliv usnesení členské schůze samosprávy v tom zabraňující či toto neumožňující je v rozporu s touto zákonnou povinností.</w:t>
      </w:r>
    </w:p>
    <w:p w:rsidR="00371B7A" w:rsidRPr="00CE28E0" w:rsidRDefault="00371B7A" w:rsidP="00AA6D5B">
      <w:pPr>
        <w:jc w:val="both"/>
        <w:rPr>
          <w:u w:val="single"/>
        </w:rPr>
      </w:pPr>
      <w:r w:rsidRPr="00CE28E0">
        <w:rPr>
          <w:u w:val="single"/>
        </w:rPr>
        <w:t>V současnosti má družstvo smluvní vztahy s těmito veřejnými operátory:</w:t>
      </w:r>
    </w:p>
    <w:p w:rsidR="004E68BC" w:rsidRPr="00CE28E0" w:rsidRDefault="00AB4C98" w:rsidP="00E354CA">
      <w:pPr>
        <w:pStyle w:val="Nadpis2"/>
        <w:spacing w:before="0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CE28E0">
        <w:rPr>
          <w:rFonts w:ascii="Times New Roman" w:hAnsi="Times New Roman"/>
          <w:i w:val="0"/>
          <w:sz w:val="24"/>
          <w:szCs w:val="24"/>
        </w:rPr>
        <w:t>SilesNet</w:t>
      </w:r>
      <w:proofErr w:type="spellEnd"/>
      <w:r w:rsidR="00C76D07" w:rsidRPr="00CE28E0">
        <w:rPr>
          <w:rFonts w:ascii="Times New Roman" w:hAnsi="Times New Roman"/>
          <w:i w:val="0"/>
          <w:sz w:val="24"/>
          <w:szCs w:val="24"/>
        </w:rPr>
        <w:t xml:space="preserve"> s.r.o.; </w:t>
      </w:r>
      <w:proofErr w:type="spellStart"/>
      <w:r w:rsidRPr="00CE28E0">
        <w:rPr>
          <w:rFonts w:ascii="Times New Roman" w:hAnsi="Times New Roman"/>
          <w:i w:val="0"/>
          <w:sz w:val="24"/>
          <w:szCs w:val="24"/>
        </w:rPr>
        <w:t>CoProSys</w:t>
      </w:r>
      <w:proofErr w:type="spellEnd"/>
      <w:r w:rsidRPr="00CE28E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E28E0">
        <w:rPr>
          <w:rFonts w:ascii="Times New Roman" w:hAnsi="Times New Roman"/>
          <w:i w:val="0"/>
          <w:sz w:val="24"/>
          <w:szCs w:val="24"/>
        </w:rPr>
        <w:t>NeTron</w:t>
      </w:r>
      <w:proofErr w:type="spellEnd"/>
      <w:r w:rsidRPr="00CE28E0">
        <w:rPr>
          <w:rFonts w:ascii="Times New Roman" w:hAnsi="Times New Roman"/>
          <w:i w:val="0"/>
          <w:sz w:val="24"/>
          <w:szCs w:val="24"/>
        </w:rPr>
        <w:t>, s.r.o.</w:t>
      </w:r>
      <w:r w:rsidR="004E68BC" w:rsidRPr="00CE28E0">
        <w:rPr>
          <w:rFonts w:ascii="Times New Roman" w:hAnsi="Times New Roman"/>
          <w:i w:val="0"/>
          <w:sz w:val="24"/>
          <w:szCs w:val="24"/>
        </w:rPr>
        <w:t xml:space="preserve"> /</w:t>
      </w:r>
      <w:r w:rsidR="00C76D07" w:rsidRPr="00CE28E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E28E0">
        <w:rPr>
          <w:rFonts w:ascii="Times New Roman" w:hAnsi="Times New Roman"/>
          <w:i w:val="0"/>
          <w:sz w:val="24"/>
          <w:szCs w:val="24"/>
        </w:rPr>
        <w:t>DomaNet</w:t>
      </w:r>
      <w:proofErr w:type="spellEnd"/>
      <w:r w:rsidRPr="00CE28E0">
        <w:rPr>
          <w:rFonts w:ascii="Times New Roman" w:hAnsi="Times New Roman"/>
          <w:i w:val="0"/>
          <w:sz w:val="24"/>
          <w:szCs w:val="24"/>
        </w:rPr>
        <w:t xml:space="preserve"> s.r.o.</w:t>
      </w:r>
      <w:r w:rsidR="00C76D07" w:rsidRPr="00CE28E0">
        <w:rPr>
          <w:rFonts w:ascii="Times New Roman" w:hAnsi="Times New Roman"/>
          <w:i w:val="0"/>
          <w:sz w:val="24"/>
          <w:szCs w:val="24"/>
        </w:rPr>
        <w:t xml:space="preserve">; </w:t>
      </w:r>
      <w:proofErr w:type="spellStart"/>
      <w:r w:rsidRPr="00CE28E0">
        <w:rPr>
          <w:rFonts w:ascii="Times New Roman" w:hAnsi="Times New Roman"/>
          <w:i w:val="0"/>
          <w:sz w:val="24"/>
          <w:szCs w:val="24"/>
        </w:rPr>
        <w:t>RegioNET</w:t>
      </w:r>
      <w:proofErr w:type="spellEnd"/>
      <w:r w:rsidRPr="00CE28E0">
        <w:rPr>
          <w:rFonts w:ascii="Times New Roman" w:hAnsi="Times New Roman"/>
          <w:i w:val="0"/>
          <w:sz w:val="24"/>
          <w:szCs w:val="24"/>
        </w:rPr>
        <w:t xml:space="preserve"> Morava, a.s. (</w:t>
      </w:r>
      <w:proofErr w:type="spellStart"/>
      <w:r w:rsidRPr="00CE28E0">
        <w:rPr>
          <w:rFonts w:ascii="Times New Roman" w:hAnsi="Times New Roman"/>
          <w:i w:val="0"/>
          <w:sz w:val="24"/>
          <w:szCs w:val="24"/>
        </w:rPr>
        <w:t>OptiKabel</w:t>
      </w:r>
      <w:proofErr w:type="spellEnd"/>
      <w:r w:rsidR="00F75FA4" w:rsidRPr="00CE28E0">
        <w:rPr>
          <w:rFonts w:ascii="Times New Roman" w:hAnsi="Times New Roman"/>
          <w:i w:val="0"/>
          <w:sz w:val="24"/>
          <w:szCs w:val="24"/>
        </w:rPr>
        <w:t>)</w:t>
      </w:r>
      <w:r w:rsidR="00E354CA" w:rsidRPr="00CE28E0">
        <w:rPr>
          <w:rFonts w:ascii="Times New Roman" w:hAnsi="Times New Roman"/>
          <w:i w:val="0"/>
          <w:sz w:val="24"/>
          <w:szCs w:val="24"/>
        </w:rPr>
        <w:t>; U</w:t>
      </w:r>
      <w:r w:rsidR="00C76D07" w:rsidRPr="00CE28E0">
        <w:rPr>
          <w:rFonts w:ascii="Times New Roman" w:hAnsi="Times New Roman"/>
          <w:i w:val="0"/>
          <w:sz w:val="24"/>
          <w:szCs w:val="24"/>
        </w:rPr>
        <w:t>PC</w:t>
      </w:r>
      <w:r w:rsidR="00F75FA4" w:rsidRPr="00CE28E0">
        <w:rPr>
          <w:rFonts w:ascii="Times New Roman" w:hAnsi="Times New Roman"/>
          <w:i w:val="0"/>
          <w:sz w:val="24"/>
          <w:szCs w:val="24"/>
        </w:rPr>
        <w:t> </w:t>
      </w:r>
      <w:r w:rsidR="00C76D07" w:rsidRPr="00CE28E0">
        <w:rPr>
          <w:rFonts w:ascii="Times New Roman" w:hAnsi="Times New Roman"/>
          <w:i w:val="0"/>
          <w:sz w:val="24"/>
          <w:szCs w:val="24"/>
        </w:rPr>
        <w:t>Česká republika s.r.o</w:t>
      </w:r>
      <w:r w:rsidR="004629F1" w:rsidRPr="00CE28E0">
        <w:rPr>
          <w:rFonts w:ascii="Times New Roman" w:hAnsi="Times New Roman"/>
          <w:i w:val="0"/>
          <w:sz w:val="24"/>
          <w:szCs w:val="24"/>
        </w:rPr>
        <w:t>.</w:t>
      </w:r>
      <w:r w:rsidR="00C76D07" w:rsidRPr="00CE28E0">
        <w:rPr>
          <w:rFonts w:ascii="Times New Roman" w:hAnsi="Times New Roman"/>
          <w:i w:val="0"/>
          <w:sz w:val="24"/>
          <w:szCs w:val="24"/>
        </w:rPr>
        <w:t xml:space="preserve">; </w:t>
      </w:r>
      <w:proofErr w:type="spellStart"/>
      <w:r w:rsidR="004E68BC" w:rsidRPr="00CE28E0">
        <w:rPr>
          <w:rStyle w:val="contact-name"/>
          <w:rFonts w:ascii="Times New Roman" w:hAnsi="Times New Roman"/>
          <w:i w:val="0"/>
          <w:sz w:val="24"/>
          <w:szCs w:val="24"/>
        </w:rPr>
        <w:t>TechCom</w:t>
      </w:r>
      <w:proofErr w:type="spellEnd"/>
      <w:r w:rsidR="004E68BC" w:rsidRPr="00CE28E0">
        <w:rPr>
          <w:rStyle w:val="contact-name"/>
          <w:rFonts w:ascii="Times New Roman" w:hAnsi="Times New Roman"/>
          <w:i w:val="0"/>
          <w:sz w:val="24"/>
          <w:szCs w:val="24"/>
        </w:rPr>
        <w:t xml:space="preserve"> s.r.o.</w:t>
      </w:r>
    </w:p>
    <w:p w:rsidR="00914AE9" w:rsidRPr="00CE28E0" w:rsidRDefault="008B0313" w:rsidP="004E68BC">
      <w:pPr>
        <w:spacing w:after="80"/>
        <w:jc w:val="both"/>
        <w:rPr>
          <w:b/>
        </w:rPr>
      </w:pPr>
      <w:r w:rsidRPr="00CE28E0">
        <w:t xml:space="preserve">Zástupci jednotlivých samospráv </w:t>
      </w:r>
      <w:r w:rsidR="000B0316" w:rsidRPr="00CE28E0">
        <w:t xml:space="preserve">určitě </w:t>
      </w:r>
      <w:r w:rsidR="000D1E8E" w:rsidRPr="00CE28E0">
        <w:t xml:space="preserve">průběžně </w:t>
      </w:r>
      <w:r w:rsidRPr="00CE28E0">
        <w:t xml:space="preserve">registrují pohyb </w:t>
      </w:r>
      <w:r w:rsidR="004629F1" w:rsidRPr="00CE28E0">
        <w:t xml:space="preserve">zodpovědných zaměstnanců jednotlivých operátorů ve svých domech, </w:t>
      </w:r>
      <w:r w:rsidR="000B0316" w:rsidRPr="00CE28E0">
        <w:t xml:space="preserve">ale </w:t>
      </w:r>
      <w:r w:rsidR="004629F1" w:rsidRPr="00CE28E0">
        <w:t xml:space="preserve">s ohledem na skutečnost, že zejm. </w:t>
      </w:r>
      <w:r w:rsidR="004629F1" w:rsidRPr="00CE28E0">
        <w:rPr>
          <w:b/>
        </w:rPr>
        <w:t xml:space="preserve">UPC Česká republika s.r.o. </w:t>
      </w:r>
      <w:r w:rsidR="004629F1" w:rsidRPr="00CE28E0">
        <w:t>bude v následujícím období vyvíjet zvýšené aktivity</w:t>
      </w:r>
      <w:r w:rsidR="000B0316" w:rsidRPr="00CE28E0">
        <w:t xml:space="preserve"> v regionu Český Těšín</w:t>
      </w:r>
      <w:r w:rsidR="004629F1" w:rsidRPr="00CE28E0">
        <w:t xml:space="preserve">, připomínáme </w:t>
      </w:r>
      <w:r w:rsidR="00E354CA" w:rsidRPr="00CE28E0">
        <w:t xml:space="preserve">znovu </w:t>
      </w:r>
      <w:r w:rsidR="004629F1" w:rsidRPr="00CE28E0">
        <w:t xml:space="preserve">tuto zákonnou povinnost. </w:t>
      </w:r>
      <w:r w:rsidR="000B0316" w:rsidRPr="00CE28E0">
        <w:rPr>
          <w:b/>
        </w:rPr>
        <w:t xml:space="preserve">Za účasti technika družstva pak bude v jednotlivých domech dohodnuto konkrétní technické řešení s cílem najít </w:t>
      </w:r>
      <w:r w:rsidR="000D1E8E" w:rsidRPr="00CE28E0">
        <w:rPr>
          <w:b/>
        </w:rPr>
        <w:t>takové</w:t>
      </w:r>
      <w:r w:rsidR="00F75FA4" w:rsidRPr="00CE28E0">
        <w:rPr>
          <w:b/>
        </w:rPr>
        <w:t xml:space="preserve"> řešení</w:t>
      </w:r>
      <w:r w:rsidR="000B0316" w:rsidRPr="00CE28E0">
        <w:rPr>
          <w:b/>
        </w:rPr>
        <w:t xml:space="preserve">, které bude pro samosprávu </w:t>
      </w:r>
      <w:r w:rsidR="00E354CA" w:rsidRPr="00CE28E0">
        <w:rPr>
          <w:b/>
        </w:rPr>
        <w:t xml:space="preserve">co </w:t>
      </w:r>
      <w:r w:rsidR="005D26D9" w:rsidRPr="00CE28E0">
        <w:rPr>
          <w:b/>
        </w:rPr>
        <w:t xml:space="preserve">nejvíce </w:t>
      </w:r>
      <w:r w:rsidR="000B0316" w:rsidRPr="00CE28E0">
        <w:rPr>
          <w:b/>
        </w:rPr>
        <w:t xml:space="preserve">vyhovující.  </w:t>
      </w:r>
      <w:r w:rsidR="004629F1" w:rsidRPr="00CE28E0">
        <w:rPr>
          <w:b/>
        </w:rPr>
        <w:t xml:space="preserve"> </w:t>
      </w:r>
    </w:p>
    <w:p w:rsidR="00AA6D5B" w:rsidRPr="00CE28E0" w:rsidRDefault="00AA6D5B" w:rsidP="000227C1">
      <w:pPr>
        <w:jc w:val="both"/>
        <w:rPr>
          <w:b/>
          <w:i/>
        </w:rPr>
      </w:pPr>
    </w:p>
    <w:p w:rsidR="005B6519" w:rsidRPr="001F7B7B" w:rsidRDefault="005B6519" w:rsidP="000227C1">
      <w:pPr>
        <w:jc w:val="both"/>
        <w:rPr>
          <w:b/>
          <w:i/>
        </w:rPr>
      </w:pPr>
      <w:r w:rsidRPr="001F7B7B">
        <w:rPr>
          <w:b/>
          <w:i/>
        </w:rPr>
        <w:t>Určeno pro výbory samospráv a k vyvěšení Informátoru v domě!</w:t>
      </w:r>
    </w:p>
    <w:sectPr w:rsidR="005B6519" w:rsidRPr="001F7B7B" w:rsidSect="00767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021" w:bottom="709" w:left="102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EF" w:rsidRDefault="00CE2AEF" w:rsidP="007677DA">
      <w:r>
        <w:separator/>
      </w:r>
    </w:p>
  </w:endnote>
  <w:endnote w:type="continuationSeparator" w:id="0">
    <w:p w:rsidR="00CE2AEF" w:rsidRDefault="00CE2AEF" w:rsidP="0076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DA" w:rsidRDefault="007677D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DA" w:rsidRDefault="007677D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DA" w:rsidRDefault="007677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EF" w:rsidRDefault="00CE2AEF" w:rsidP="007677DA">
      <w:r>
        <w:separator/>
      </w:r>
    </w:p>
  </w:footnote>
  <w:footnote w:type="continuationSeparator" w:id="0">
    <w:p w:rsidR="00CE2AEF" w:rsidRDefault="00CE2AEF" w:rsidP="00767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DA" w:rsidRDefault="007677D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DA" w:rsidRPr="00BE1472" w:rsidRDefault="007677DA" w:rsidP="007677DA">
    <w:pPr>
      <w:pStyle w:val="Prosttext"/>
      <w:ind w:right="-468"/>
      <w:rPr>
        <w:rFonts w:ascii="Times New Roman" w:eastAsia="MS Mincho" w:hAnsi="Times New Roman"/>
        <w:bCs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DA" w:rsidRDefault="007677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6B3"/>
    <w:multiLevelType w:val="hybridMultilevel"/>
    <w:tmpl w:val="7FD4447E"/>
    <w:lvl w:ilvl="0" w:tplc="86888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28B0"/>
    <w:multiLevelType w:val="hybridMultilevel"/>
    <w:tmpl w:val="9B429B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5076"/>
    <w:multiLevelType w:val="hybridMultilevel"/>
    <w:tmpl w:val="F996A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9628D"/>
    <w:multiLevelType w:val="hybridMultilevel"/>
    <w:tmpl w:val="EE8AA2BA"/>
    <w:lvl w:ilvl="0" w:tplc="BDA4CF3C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5FDD60A3"/>
    <w:multiLevelType w:val="hybridMultilevel"/>
    <w:tmpl w:val="1ACEC1D0"/>
    <w:lvl w:ilvl="0" w:tplc="9064E2BA">
      <w:start w:val="737"/>
      <w:numFmt w:val="bullet"/>
      <w:lvlText w:val="-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E3FD2"/>
    <w:multiLevelType w:val="hybridMultilevel"/>
    <w:tmpl w:val="5E569A26"/>
    <w:lvl w:ilvl="0" w:tplc="25FA595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3EE3"/>
    <w:multiLevelType w:val="hybridMultilevel"/>
    <w:tmpl w:val="17848B30"/>
    <w:lvl w:ilvl="0" w:tplc="D158A22C">
      <w:start w:val="1"/>
      <w:numFmt w:val="bullet"/>
      <w:lvlText w:val="-"/>
      <w:lvlJc w:val="left"/>
      <w:pPr>
        <w:ind w:left="24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7">
    <w:nsid w:val="6D2F7B88"/>
    <w:multiLevelType w:val="hybridMultilevel"/>
    <w:tmpl w:val="DA6E5FCE"/>
    <w:lvl w:ilvl="0" w:tplc="9064E2BA">
      <w:start w:val="737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519"/>
    <w:rsid w:val="0000752C"/>
    <w:rsid w:val="000227C1"/>
    <w:rsid w:val="00051BDE"/>
    <w:rsid w:val="00082840"/>
    <w:rsid w:val="000B0316"/>
    <w:rsid w:val="000C616E"/>
    <w:rsid w:val="000D1E8E"/>
    <w:rsid w:val="000E690C"/>
    <w:rsid w:val="00100888"/>
    <w:rsid w:val="0010324E"/>
    <w:rsid w:val="001177D7"/>
    <w:rsid w:val="0012231A"/>
    <w:rsid w:val="001264F8"/>
    <w:rsid w:val="001B4FBD"/>
    <w:rsid w:val="001F7B7B"/>
    <w:rsid w:val="002732D5"/>
    <w:rsid w:val="00275422"/>
    <w:rsid w:val="002D50C2"/>
    <w:rsid w:val="00371B7A"/>
    <w:rsid w:val="003773A3"/>
    <w:rsid w:val="0038321B"/>
    <w:rsid w:val="003D17F1"/>
    <w:rsid w:val="003E4A18"/>
    <w:rsid w:val="003F5D23"/>
    <w:rsid w:val="004203DE"/>
    <w:rsid w:val="00454D2C"/>
    <w:rsid w:val="004629F1"/>
    <w:rsid w:val="004E68BC"/>
    <w:rsid w:val="00527223"/>
    <w:rsid w:val="005852AB"/>
    <w:rsid w:val="005B6519"/>
    <w:rsid w:val="005D26D9"/>
    <w:rsid w:val="005E7707"/>
    <w:rsid w:val="005F3988"/>
    <w:rsid w:val="00617257"/>
    <w:rsid w:val="00663267"/>
    <w:rsid w:val="006715F1"/>
    <w:rsid w:val="00683ABA"/>
    <w:rsid w:val="006B4B87"/>
    <w:rsid w:val="006F5920"/>
    <w:rsid w:val="00740563"/>
    <w:rsid w:val="007677DA"/>
    <w:rsid w:val="00776B0A"/>
    <w:rsid w:val="00787A36"/>
    <w:rsid w:val="007B0579"/>
    <w:rsid w:val="007B76AD"/>
    <w:rsid w:val="007C1037"/>
    <w:rsid w:val="007D4858"/>
    <w:rsid w:val="007F2945"/>
    <w:rsid w:val="00801BB3"/>
    <w:rsid w:val="00850BDD"/>
    <w:rsid w:val="00850DA5"/>
    <w:rsid w:val="00871180"/>
    <w:rsid w:val="00881887"/>
    <w:rsid w:val="00887F07"/>
    <w:rsid w:val="008903DB"/>
    <w:rsid w:val="008B0313"/>
    <w:rsid w:val="009048B2"/>
    <w:rsid w:val="009100BB"/>
    <w:rsid w:val="00914AE9"/>
    <w:rsid w:val="00916628"/>
    <w:rsid w:val="0098095C"/>
    <w:rsid w:val="009D47FC"/>
    <w:rsid w:val="00A24093"/>
    <w:rsid w:val="00A41BE9"/>
    <w:rsid w:val="00A56237"/>
    <w:rsid w:val="00A97FA6"/>
    <w:rsid w:val="00AA6D5B"/>
    <w:rsid w:val="00AB4C98"/>
    <w:rsid w:val="00AD312A"/>
    <w:rsid w:val="00AE7D87"/>
    <w:rsid w:val="00B70802"/>
    <w:rsid w:val="00B72B72"/>
    <w:rsid w:val="00C25031"/>
    <w:rsid w:val="00C2748F"/>
    <w:rsid w:val="00C66B32"/>
    <w:rsid w:val="00C76D07"/>
    <w:rsid w:val="00C86024"/>
    <w:rsid w:val="00CB74B6"/>
    <w:rsid w:val="00CB7918"/>
    <w:rsid w:val="00CC4612"/>
    <w:rsid w:val="00CD06D2"/>
    <w:rsid w:val="00CE28E0"/>
    <w:rsid w:val="00CE2AEF"/>
    <w:rsid w:val="00D02B87"/>
    <w:rsid w:val="00D07882"/>
    <w:rsid w:val="00D1407C"/>
    <w:rsid w:val="00D34333"/>
    <w:rsid w:val="00D61563"/>
    <w:rsid w:val="00E354CA"/>
    <w:rsid w:val="00EC622C"/>
    <w:rsid w:val="00ED5EC9"/>
    <w:rsid w:val="00ED6AD1"/>
    <w:rsid w:val="00EE19B8"/>
    <w:rsid w:val="00EE5774"/>
    <w:rsid w:val="00F43D41"/>
    <w:rsid w:val="00F52233"/>
    <w:rsid w:val="00F72CE1"/>
    <w:rsid w:val="00F75FA4"/>
    <w:rsid w:val="00F9020E"/>
    <w:rsid w:val="00FA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6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B6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semiHidden/>
    <w:unhideWhenUsed/>
    <w:rsid w:val="005B6519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5B6519"/>
    <w:rPr>
      <w:rFonts w:ascii="Calibri" w:eastAsia="Calibri" w:hAnsi="Calibri"/>
    </w:rPr>
  </w:style>
  <w:style w:type="paragraph" w:styleId="Bezmezer">
    <w:name w:val="No Spacing"/>
    <w:link w:val="BezmezerChar"/>
    <w:uiPriority w:val="1"/>
    <w:qFormat/>
    <w:rsid w:val="005B6519"/>
    <w:pPr>
      <w:spacing w:after="0" w:line="240" w:lineRule="auto"/>
    </w:pPr>
    <w:rPr>
      <w:rFonts w:ascii="Calibri" w:eastAsia="Calibri" w:hAnsi="Calibri"/>
    </w:rPr>
  </w:style>
  <w:style w:type="table" w:styleId="Mkatabulky">
    <w:name w:val="Table Grid"/>
    <w:basedOn w:val="Normlntabulka"/>
    <w:uiPriority w:val="59"/>
    <w:rsid w:val="002D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227C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E577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AE9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4E68BC"/>
    <w:rPr>
      <w:b/>
      <w:bCs/>
    </w:rPr>
  </w:style>
  <w:style w:type="character" w:customStyle="1" w:styleId="contact-name">
    <w:name w:val="contact-name"/>
    <w:basedOn w:val="Standardnpsmoodstavce"/>
    <w:rsid w:val="004E68BC"/>
  </w:style>
  <w:style w:type="paragraph" w:styleId="Zhlav">
    <w:name w:val="header"/>
    <w:basedOn w:val="Normln"/>
    <w:link w:val="ZhlavChar"/>
    <w:uiPriority w:val="99"/>
    <w:unhideWhenUsed/>
    <w:rsid w:val="007677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7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67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77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7677D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677D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an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sinan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1086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Gryc</dc:creator>
  <cp:keywords/>
  <dc:description/>
  <cp:lastModifiedBy>Ing. Romana Slowiková</cp:lastModifiedBy>
  <cp:revision>46</cp:revision>
  <cp:lastPrinted>2016-08-22T09:15:00Z</cp:lastPrinted>
  <dcterms:created xsi:type="dcterms:W3CDTF">2016-07-20T14:38:00Z</dcterms:created>
  <dcterms:modified xsi:type="dcterms:W3CDTF">2016-08-30T07:14:00Z</dcterms:modified>
</cp:coreProperties>
</file>